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ED" w:rsidRPr="001F554C" w:rsidRDefault="000C66ED" w:rsidP="000C6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54C">
        <w:rPr>
          <w:rFonts w:ascii="Times New Roman" w:hAnsi="Times New Roman" w:cs="Times New Roman"/>
          <w:b/>
          <w:sz w:val="24"/>
          <w:szCs w:val="24"/>
        </w:rPr>
        <w:t>ABSTRACT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296"/>
        <w:gridCol w:w="6006"/>
      </w:tblGrid>
      <w:tr w:rsidR="000C66ED" w:rsidRPr="00FD1911" w:rsidTr="00326162">
        <w:trPr>
          <w:jc w:val="center"/>
        </w:trPr>
        <w:tc>
          <w:tcPr>
            <w:tcW w:w="2940" w:type="dxa"/>
          </w:tcPr>
          <w:p w:rsidR="000C66ED" w:rsidRPr="00FD1911" w:rsidRDefault="000C66ED" w:rsidP="00326162">
            <w:pPr>
              <w:pStyle w:val="BodyText"/>
            </w:pPr>
            <w:r w:rsidRPr="00FD1911">
              <w:t xml:space="preserve">Title of Thesis         </w:t>
            </w:r>
          </w:p>
        </w:tc>
        <w:tc>
          <w:tcPr>
            <w:tcW w:w="296" w:type="dxa"/>
          </w:tcPr>
          <w:p w:rsidR="000C66ED" w:rsidRPr="00FD1911" w:rsidRDefault="000C66ED" w:rsidP="00326162">
            <w:pPr>
              <w:pStyle w:val="BodyText"/>
            </w:pPr>
            <w:r w:rsidRPr="00FD1911">
              <w:t>:</w:t>
            </w:r>
          </w:p>
        </w:tc>
        <w:tc>
          <w:tcPr>
            <w:tcW w:w="6006" w:type="dxa"/>
          </w:tcPr>
          <w:p w:rsidR="000C66ED" w:rsidRPr="00FD1911" w:rsidRDefault="000C66ED" w:rsidP="00326162">
            <w:pPr>
              <w:pStyle w:val="BodyText"/>
              <w:rPr>
                <w:b w:val="0"/>
              </w:rPr>
            </w:pPr>
            <w:r>
              <w:rPr>
                <w:b w:val="0"/>
                <w:color w:val="000000"/>
              </w:rPr>
              <w:t>Effect of crowding on CO</w:t>
            </w:r>
            <w:r w:rsidRPr="00855896">
              <w:rPr>
                <w:b w:val="0"/>
                <w:color w:val="000000"/>
                <w:vertAlign w:val="subscript"/>
              </w:rPr>
              <w:t>2</w:t>
            </w:r>
            <w:r>
              <w:rPr>
                <w:b w:val="0"/>
                <w:color w:val="000000"/>
              </w:rPr>
              <w:t xml:space="preserve"> emission and cocoon productivity in silkworm</w:t>
            </w:r>
          </w:p>
        </w:tc>
      </w:tr>
      <w:tr w:rsidR="000C66ED" w:rsidRPr="00FD1911" w:rsidTr="00326162">
        <w:trPr>
          <w:jc w:val="center"/>
        </w:trPr>
        <w:tc>
          <w:tcPr>
            <w:tcW w:w="2940" w:type="dxa"/>
          </w:tcPr>
          <w:p w:rsidR="000C66ED" w:rsidRPr="00FD1911" w:rsidRDefault="000C66ED" w:rsidP="00326162">
            <w:pPr>
              <w:pStyle w:val="BodyText"/>
            </w:pPr>
            <w:r w:rsidRPr="00FD1911">
              <w:t xml:space="preserve">Name of the Student            </w:t>
            </w:r>
          </w:p>
        </w:tc>
        <w:tc>
          <w:tcPr>
            <w:tcW w:w="296" w:type="dxa"/>
          </w:tcPr>
          <w:p w:rsidR="000C66ED" w:rsidRPr="00FD1911" w:rsidRDefault="000C66ED" w:rsidP="00326162">
            <w:pPr>
              <w:pStyle w:val="BodyText"/>
            </w:pPr>
            <w:r w:rsidRPr="00FD1911">
              <w:t>:</w:t>
            </w:r>
          </w:p>
        </w:tc>
        <w:tc>
          <w:tcPr>
            <w:tcW w:w="6006" w:type="dxa"/>
          </w:tcPr>
          <w:p w:rsidR="000C66ED" w:rsidRPr="00FD1911" w:rsidRDefault="000C66ED" w:rsidP="00326162">
            <w:pPr>
              <w:pStyle w:val="BodyText"/>
              <w:rPr>
                <w:b w:val="0"/>
              </w:rPr>
            </w:pPr>
            <w:proofErr w:type="spellStart"/>
            <w:r>
              <w:rPr>
                <w:b w:val="0"/>
              </w:rPr>
              <w:t>Ankita</w:t>
            </w:r>
            <w:proofErr w:type="spellEnd"/>
            <w:r w:rsidR="001A24E9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Choudhary</w:t>
            </w:r>
            <w:proofErr w:type="spellEnd"/>
          </w:p>
        </w:tc>
      </w:tr>
      <w:tr w:rsidR="000C66ED" w:rsidRPr="00FD1911" w:rsidTr="00326162">
        <w:trPr>
          <w:jc w:val="center"/>
        </w:trPr>
        <w:tc>
          <w:tcPr>
            <w:tcW w:w="2940" w:type="dxa"/>
          </w:tcPr>
          <w:p w:rsidR="000C66ED" w:rsidRPr="00FD1911" w:rsidRDefault="000C66ED" w:rsidP="00326162">
            <w:pPr>
              <w:pStyle w:val="BodyText"/>
            </w:pPr>
            <w:r w:rsidRPr="00FD1911">
              <w:t xml:space="preserve">Regd. No.                                 </w:t>
            </w:r>
          </w:p>
        </w:tc>
        <w:tc>
          <w:tcPr>
            <w:tcW w:w="296" w:type="dxa"/>
          </w:tcPr>
          <w:p w:rsidR="000C66ED" w:rsidRPr="00FD1911" w:rsidRDefault="000C66ED" w:rsidP="00326162">
            <w:pPr>
              <w:pStyle w:val="BodyText"/>
            </w:pPr>
            <w:r w:rsidRPr="00FD1911">
              <w:t>:</w:t>
            </w:r>
          </w:p>
        </w:tc>
        <w:tc>
          <w:tcPr>
            <w:tcW w:w="6006" w:type="dxa"/>
          </w:tcPr>
          <w:p w:rsidR="000C66ED" w:rsidRPr="00FD1911" w:rsidRDefault="000C66ED" w:rsidP="00326162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J-19-M-680</w:t>
            </w:r>
          </w:p>
        </w:tc>
      </w:tr>
      <w:tr w:rsidR="000C66ED" w:rsidRPr="00FD1911" w:rsidTr="00326162">
        <w:trPr>
          <w:jc w:val="center"/>
        </w:trPr>
        <w:tc>
          <w:tcPr>
            <w:tcW w:w="2940" w:type="dxa"/>
          </w:tcPr>
          <w:p w:rsidR="000C66ED" w:rsidRPr="00FD1911" w:rsidRDefault="000C66ED" w:rsidP="00326162">
            <w:pPr>
              <w:pStyle w:val="BodyText"/>
            </w:pPr>
            <w:r w:rsidRPr="00FD1911">
              <w:t xml:space="preserve">Major subject                           </w:t>
            </w:r>
          </w:p>
        </w:tc>
        <w:tc>
          <w:tcPr>
            <w:tcW w:w="296" w:type="dxa"/>
          </w:tcPr>
          <w:p w:rsidR="000C66ED" w:rsidRPr="00FD1911" w:rsidRDefault="000C66ED" w:rsidP="00326162">
            <w:pPr>
              <w:pStyle w:val="BodyText"/>
            </w:pPr>
            <w:r w:rsidRPr="00FD1911">
              <w:t>:</w:t>
            </w:r>
          </w:p>
        </w:tc>
        <w:tc>
          <w:tcPr>
            <w:tcW w:w="6006" w:type="dxa"/>
          </w:tcPr>
          <w:p w:rsidR="000C66ED" w:rsidRPr="00FD1911" w:rsidRDefault="000C66ED" w:rsidP="00326162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Sericulture</w:t>
            </w:r>
          </w:p>
        </w:tc>
      </w:tr>
      <w:tr w:rsidR="000C66ED" w:rsidRPr="00FD1911" w:rsidTr="00326162">
        <w:trPr>
          <w:jc w:val="center"/>
        </w:trPr>
        <w:tc>
          <w:tcPr>
            <w:tcW w:w="2940" w:type="dxa"/>
          </w:tcPr>
          <w:p w:rsidR="000C66ED" w:rsidRPr="00FD1911" w:rsidRDefault="000C66ED" w:rsidP="00326162">
            <w:pPr>
              <w:pStyle w:val="BodyText"/>
            </w:pPr>
            <w:r>
              <w:t xml:space="preserve">Name and Designation of </w:t>
            </w:r>
            <w:r w:rsidRPr="00FD1911">
              <w:t xml:space="preserve">Major Advisor                          </w:t>
            </w:r>
          </w:p>
        </w:tc>
        <w:tc>
          <w:tcPr>
            <w:tcW w:w="296" w:type="dxa"/>
          </w:tcPr>
          <w:p w:rsidR="000C66ED" w:rsidRPr="00FD1911" w:rsidRDefault="000C66ED" w:rsidP="00326162">
            <w:pPr>
              <w:pStyle w:val="BodyText"/>
            </w:pPr>
            <w:r w:rsidRPr="00FD1911">
              <w:t>:</w:t>
            </w:r>
          </w:p>
        </w:tc>
        <w:tc>
          <w:tcPr>
            <w:tcW w:w="6006" w:type="dxa"/>
          </w:tcPr>
          <w:p w:rsidR="000C66ED" w:rsidRDefault="000C66ED" w:rsidP="00326162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Dr. </w:t>
            </w:r>
            <w:proofErr w:type="spellStart"/>
            <w:r>
              <w:rPr>
                <w:b w:val="0"/>
              </w:rPr>
              <w:t>Kamlesh</w:t>
            </w:r>
            <w:proofErr w:type="spellEnd"/>
            <w:r>
              <w:rPr>
                <w:b w:val="0"/>
              </w:rPr>
              <w:t xml:space="preserve"> Bali</w:t>
            </w:r>
          </w:p>
          <w:p w:rsidR="000C66ED" w:rsidRPr="00FD1911" w:rsidRDefault="000C66ED" w:rsidP="00326162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Associate Professor </w:t>
            </w:r>
          </w:p>
        </w:tc>
      </w:tr>
      <w:tr w:rsidR="000C66ED" w:rsidRPr="00FD1911" w:rsidTr="00326162">
        <w:trPr>
          <w:jc w:val="center"/>
        </w:trPr>
        <w:tc>
          <w:tcPr>
            <w:tcW w:w="2940" w:type="dxa"/>
          </w:tcPr>
          <w:p w:rsidR="000C66ED" w:rsidRPr="00FD1911" w:rsidRDefault="000C66ED" w:rsidP="00326162">
            <w:pPr>
              <w:pStyle w:val="BodyText"/>
            </w:pPr>
            <w:r w:rsidRPr="00FD1911">
              <w:t xml:space="preserve">Degree to be awarded               </w:t>
            </w:r>
          </w:p>
        </w:tc>
        <w:tc>
          <w:tcPr>
            <w:tcW w:w="296" w:type="dxa"/>
          </w:tcPr>
          <w:p w:rsidR="000C66ED" w:rsidRPr="00FD1911" w:rsidRDefault="000C66ED" w:rsidP="00326162">
            <w:pPr>
              <w:pStyle w:val="BodyText"/>
            </w:pPr>
            <w:r w:rsidRPr="00FD1911">
              <w:t>:</w:t>
            </w:r>
          </w:p>
        </w:tc>
        <w:tc>
          <w:tcPr>
            <w:tcW w:w="6006" w:type="dxa"/>
          </w:tcPr>
          <w:p w:rsidR="000C66ED" w:rsidRPr="00FD1911" w:rsidRDefault="000C66ED" w:rsidP="00326162">
            <w:pPr>
              <w:pStyle w:val="BodyText"/>
              <w:rPr>
                <w:b w:val="0"/>
              </w:rPr>
            </w:pPr>
            <w:r w:rsidRPr="00FD1911">
              <w:rPr>
                <w:b w:val="0"/>
              </w:rPr>
              <w:t>M.Sc. Sericulture</w:t>
            </w:r>
          </w:p>
        </w:tc>
      </w:tr>
      <w:tr w:rsidR="000C66ED" w:rsidRPr="00FD1911" w:rsidTr="00326162">
        <w:trPr>
          <w:jc w:val="center"/>
        </w:trPr>
        <w:tc>
          <w:tcPr>
            <w:tcW w:w="2940" w:type="dxa"/>
          </w:tcPr>
          <w:p w:rsidR="000C66ED" w:rsidRPr="00FD1911" w:rsidRDefault="000C66ED" w:rsidP="00326162">
            <w:pPr>
              <w:pStyle w:val="BodyText"/>
            </w:pPr>
            <w:r w:rsidRPr="00FD1911">
              <w:t xml:space="preserve">Year of award of degree            </w:t>
            </w:r>
          </w:p>
        </w:tc>
        <w:tc>
          <w:tcPr>
            <w:tcW w:w="296" w:type="dxa"/>
          </w:tcPr>
          <w:p w:rsidR="000C66ED" w:rsidRPr="00FD1911" w:rsidRDefault="000C66ED" w:rsidP="00326162">
            <w:pPr>
              <w:pStyle w:val="BodyText"/>
            </w:pPr>
            <w:r w:rsidRPr="00FD1911">
              <w:t>:</w:t>
            </w:r>
          </w:p>
        </w:tc>
        <w:tc>
          <w:tcPr>
            <w:tcW w:w="6006" w:type="dxa"/>
          </w:tcPr>
          <w:p w:rsidR="000C66ED" w:rsidRPr="00FD1911" w:rsidRDefault="000C66ED" w:rsidP="00326162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0C66ED" w:rsidRPr="00D678D4" w:rsidTr="00326162">
        <w:trPr>
          <w:jc w:val="center"/>
        </w:trPr>
        <w:tc>
          <w:tcPr>
            <w:tcW w:w="2940" w:type="dxa"/>
          </w:tcPr>
          <w:p w:rsidR="000C66ED" w:rsidRPr="00FD1911" w:rsidRDefault="000C66ED" w:rsidP="00326162">
            <w:pPr>
              <w:pStyle w:val="BodyText"/>
            </w:pPr>
            <w:r>
              <w:t>Name of the University</w:t>
            </w:r>
          </w:p>
        </w:tc>
        <w:tc>
          <w:tcPr>
            <w:tcW w:w="296" w:type="dxa"/>
          </w:tcPr>
          <w:p w:rsidR="000C66ED" w:rsidRPr="00FD1911" w:rsidRDefault="000C66ED" w:rsidP="00326162">
            <w:pPr>
              <w:pStyle w:val="BodyText"/>
            </w:pPr>
            <w:r>
              <w:t>:</w:t>
            </w:r>
          </w:p>
        </w:tc>
        <w:tc>
          <w:tcPr>
            <w:tcW w:w="6006" w:type="dxa"/>
          </w:tcPr>
          <w:p w:rsidR="000C66ED" w:rsidRPr="00D678D4" w:rsidRDefault="000C66ED" w:rsidP="00326162">
            <w:pPr>
              <w:pStyle w:val="BodyText"/>
              <w:rPr>
                <w:b w:val="0"/>
              </w:rPr>
            </w:pPr>
            <w:proofErr w:type="spellStart"/>
            <w:r w:rsidRPr="00D678D4">
              <w:rPr>
                <w:b w:val="0"/>
              </w:rPr>
              <w:t>Sher</w:t>
            </w:r>
            <w:proofErr w:type="spellEnd"/>
            <w:r w:rsidRPr="00D678D4">
              <w:rPr>
                <w:b w:val="0"/>
              </w:rPr>
              <w:t>-e-Kashmir University of Agricultural Sciences and Technology of Jammu (J&amp;K)</w:t>
            </w:r>
          </w:p>
        </w:tc>
      </w:tr>
    </w:tbl>
    <w:p w:rsidR="000C66ED" w:rsidRPr="001F554C" w:rsidRDefault="000C66ED" w:rsidP="000C66ED">
      <w:pPr>
        <w:rPr>
          <w:rFonts w:ascii="Times New Roman" w:hAnsi="Times New Roman" w:cs="Times New Roman"/>
          <w:b/>
          <w:sz w:val="24"/>
          <w:szCs w:val="24"/>
        </w:rPr>
      </w:pPr>
      <w:r w:rsidRPr="001F554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C66ED" w:rsidRPr="00662138" w:rsidRDefault="000C66ED" w:rsidP="000C66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most important factors determining the larval and cocoon characters of silkworm, </w:t>
      </w:r>
      <w:proofErr w:type="spellStart"/>
      <w:r w:rsidRPr="006621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ombyx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mori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 the provision </w:t>
      </w:r>
      <w:proofErr w:type="spellStart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ofspace</w:t>
      </w:r>
      <w:proofErr w:type="spellEnd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worms during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aring, especially during the 5</w:t>
      </w:r>
      <w:r w:rsidRPr="006759F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instar</w:t>
      </w:r>
      <w:proofErr w:type="spellEnd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when the space requirement of the </w:t>
      </w:r>
      <w:proofErr w:type="spellStart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worm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maximum. Limitation of space or crowding greatly affects the physiology of worms influencing the cocoon production besides leading to over production/emission of carbon dioxide which has a </w:t>
      </w:r>
      <w:proofErr w:type="spellStart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directbearing</w:t>
      </w:r>
      <w:proofErr w:type="spellEnd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growth of silkworm larvae.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Keeping this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view,</w:t>
      </w:r>
      <w:r w:rsidRPr="00662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present investigation entitled </w:t>
      </w:r>
      <w:r w:rsidRPr="00662138">
        <w:rPr>
          <w:rFonts w:ascii="Times New Roman" w:hAnsi="Times New Roman" w:cs="Times New Roman"/>
          <w:b/>
          <w:sz w:val="24"/>
          <w:szCs w:val="24"/>
        </w:rPr>
        <w:t>“</w:t>
      </w:r>
      <w:r w:rsidRPr="00662138">
        <w:rPr>
          <w:rFonts w:ascii="Times New Roman" w:hAnsi="Times New Roman" w:cs="Times New Roman"/>
          <w:b/>
          <w:color w:val="000000"/>
          <w:sz w:val="24"/>
          <w:szCs w:val="24"/>
        </w:rPr>
        <w:t>Effect of crowding on CO</w:t>
      </w:r>
      <w:r w:rsidRPr="00662138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662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emission and cocoon productivity in silkworm</w:t>
      </w:r>
      <w:r w:rsidRPr="00662138">
        <w:rPr>
          <w:rFonts w:ascii="Times New Roman" w:hAnsi="Times New Roman" w:cs="Times New Roman"/>
          <w:b/>
          <w:sz w:val="24"/>
          <w:szCs w:val="24"/>
        </w:rPr>
        <w:t>”</w:t>
      </w:r>
      <w:r w:rsidRPr="00662138">
        <w:rPr>
          <w:rFonts w:ascii="Times New Roman" w:hAnsi="Times New Roman" w:cs="Times New Roman"/>
          <w:sz w:val="24"/>
          <w:szCs w:val="24"/>
        </w:rPr>
        <w:t xml:space="preserve"> was carried out to</w:t>
      </w:r>
      <w:r>
        <w:rPr>
          <w:rFonts w:ascii="Times New Roman" w:hAnsi="Times New Roman" w:cs="Times New Roman"/>
          <w:sz w:val="24"/>
          <w:szCs w:val="24"/>
        </w:rPr>
        <w:t xml:space="preserve"> assess the</w:t>
      </w:r>
      <w:r w:rsidRPr="00662138">
        <w:rPr>
          <w:rFonts w:ascii="Times New Roman" w:hAnsi="Times New Roman" w:cs="Times New Roman"/>
          <w:sz w:val="24"/>
          <w:szCs w:val="24"/>
        </w:rPr>
        <w:t xml:space="preserve"> impact of crowding and </w:t>
      </w:r>
      <w:r w:rsidRPr="00662138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66213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2138">
        <w:rPr>
          <w:rFonts w:ascii="Times New Roman" w:hAnsi="Times New Roman" w:cs="Times New Roman"/>
          <w:sz w:val="24"/>
          <w:szCs w:val="24"/>
        </w:rPr>
        <w:t xml:space="preserve"> on commercial cocoon characters and silkworm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health.Experiments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were conducted on commercial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bivoltine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silkworm hybrid FC</w:t>
      </w:r>
      <w:r w:rsidRPr="0066213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2138">
        <w:rPr>
          <w:rFonts w:ascii="Times New Roman" w:hAnsi="Times New Roman" w:cs="Times New Roman"/>
          <w:sz w:val="24"/>
          <w:szCs w:val="24"/>
        </w:rPr>
        <w:t xml:space="preserve"> × FC</w:t>
      </w:r>
      <w:r w:rsidRPr="006621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138">
        <w:rPr>
          <w:rFonts w:ascii="Times New Roman" w:hAnsi="Times New Roman" w:cs="Times New Roman"/>
          <w:sz w:val="24"/>
          <w:szCs w:val="24"/>
        </w:rPr>
        <w:t>, comprising of seven treatments. Population densities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138">
        <w:rPr>
          <w:rFonts w:ascii="Times New Roman" w:hAnsi="Times New Roman" w:cs="Times New Roman"/>
          <w:sz w:val="24"/>
          <w:szCs w:val="24"/>
        </w:rPr>
        <w:t>350,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>400,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>450,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138">
        <w:rPr>
          <w:rFonts w:ascii="Times New Roman" w:hAnsi="Times New Roman" w:cs="Times New Roman"/>
          <w:sz w:val="24"/>
          <w:szCs w:val="24"/>
        </w:rPr>
        <w:t>500,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>550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>600 worms/6ft</w:t>
      </w:r>
      <w:r w:rsidRPr="006621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62138">
        <w:rPr>
          <w:rFonts w:ascii="Times New Roman" w:hAnsi="Times New Roman" w:cs="Times New Roman"/>
          <w:sz w:val="24"/>
          <w:szCs w:val="24"/>
        </w:rPr>
        <w:t xml:space="preserve"> per tray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 xml:space="preserve">were utilized to evaluate and recommend the optimum silkworm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populationnumber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required to be reared under specific unit area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commercially.The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results of experiment revealed that </w:t>
      </w:r>
      <w:r w:rsidRPr="00662138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66213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B08E3">
        <w:rPr>
          <w:rFonts w:ascii="Times New Roman" w:hAnsi="Times New Roman" w:cs="Times New Roman"/>
        </w:rPr>
        <w:t>emission</w:t>
      </w:r>
      <w:r w:rsidRPr="00662138">
        <w:rPr>
          <w:rFonts w:ascii="Times New Roman" w:hAnsi="Times New Roman" w:cs="Times New Roman"/>
          <w:sz w:val="24"/>
          <w:szCs w:val="24"/>
        </w:rPr>
        <w:t xml:space="preserve"> was minimum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62138">
        <w:rPr>
          <w:rFonts w:ascii="Times New Roman" w:hAnsi="Times New Roman" w:cs="Times New Roman"/>
          <w:sz w:val="24"/>
          <w:szCs w:val="24"/>
        </w:rPr>
        <w:t>maximum at</w:t>
      </w:r>
      <w:r>
        <w:rPr>
          <w:rFonts w:ascii="Times New Roman" w:hAnsi="Times New Roman" w:cs="Times New Roman"/>
          <w:sz w:val="24"/>
          <w:szCs w:val="24"/>
        </w:rPr>
        <w:t xml:space="preserve"> densities</w:t>
      </w:r>
      <w:r w:rsidRPr="00662138">
        <w:rPr>
          <w:rFonts w:ascii="Times New Roman" w:hAnsi="Times New Roman" w:cs="Times New Roman"/>
          <w:sz w:val="24"/>
          <w:szCs w:val="24"/>
        </w:rPr>
        <w:t xml:space="preserve"> of 300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662138">
        <w:rPr>
          <w:rFonts w:ascii="Times New Roman" w:hAnsi="Times New Roman" w:cs="Times New Roman"/>
          <w:sz w:val="24"/>
          <w:szCs w:val="24"/>
        </w:rPr>
        <w:t xml:space="preserve"> worms/6ft</w:t>
      </w:r>
      <w:r w:rsidRPr="006621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respectively</w:t>
      </w:r>
      <w:r w:rsidRPr="00662138">
        <w:rPr>
          <w:rFonts w:ascii="Times New Roman" w:hAnsi="Times New Roman" w:cs="Times New Roman"/>
          <w:sz w:val="24"/>
          <w:szCs w:val="24"/>
        </w:rPr>
        <w:t xml:space="preserve">. 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The duration of different instars as well as total larval duration (days) was found inversely proportional to increase in crowding and CO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emission.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>study also showed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8">
        <w:rPr>
          <w:rFonts w:ascii="Times New Roman" w:hAnsi="Times New Roman" w:cs="Times New Roman"/>
          <w:sz w:val="24"/>
          <w:szCs w:val="24"/>
        </w:rPr>
        <w:t xml:space="preserve">the weight of larvae, </w:t>
      </w:r>
      <w:r>
        <w:rPr>
          <w:rFonts w:ascii="Times New Roman" w:hAnsi="Times New Roman" w:cs="Times New Roman"/>
          <w:sz w:val="24"/>
          <w:szCs w:val="24"/>
        </w:rPr>
        <w:t xml:space="preserve">percentage </w:t>
      </w:r>
      <w:r w:rsidRPr="00662138">
        <w:rPr>
          <w:rFonts w:ascii="Times New Roman" w:hAnsi="Times New Roman" w:cs="Times New Roman"/>
          <w:sz w:val="24"/>
          <w:szCs w:val="24"/>
        </w:rPr>
        <w:t xml:space="preserve">larval survival and pupation decreased with the increase in crowding and subsequent increase in </w:t>
      </w:r>
      <w:r w:rsidRPr="00662138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66213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2138">
        <w:rPr>
          <w:rFonts w:ascii="Times New Roman" w:hAnsi="Times New Roman" w:cs="Times New Roman"/>
          <w:sz w:val="24"/>
          <w:szCs w:val="24"/>
        </w:rPr>
        <w:t xml:space="preserve"> emission. 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Cocoon parameters such as cocoon yield by weight, cocoon yield by </w:t>
      </w:r>
      <w:proofErr w:type="spellStart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proofErr w:type="gramStart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>,Total</w:t>
      </w:r>
      <w:proofErr w:type="spellEnd"/>
      <w:proofErr w:type="gramEnd"/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filament length (m) and Non-breakable filament length (m)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varied significantly with increase in crowding with</w:t>
      </w:r>
      <w:r w:rsidRPr="0066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and maximum values at 300 and 600</w:t>
      </w:r>
      <w:r w:rsidRPr="00662138">
        <w:rPr>
          <w:rFonts w:ascii="Times New Roman" w:hAnsi="Times New Roman" w:cs="Times New Roman"/>
          <w:sz w:val="24"/>
          <w:szCs w:val="24"/>
        </w:rPr>
        <w:t xml:space="preserve"> worms/6ft</w:t>
      </w:r>
      <w:r w:rsidRPr="006621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2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respectively.The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result obtained from this study revealed a highly significant variance on the feed efficacy parameters like food consumption, utilization, digestibilit</w:t>
      </w:r>
      <w:r>
        <w:rPr>
          <w:rFonts w:ascii="Times New Roman" w:hAnsi="Times New Roman" w:cs="Times New Roman"/>
          <w:sz w:val="24"/>
          <w:szCs w:val="24"/>
        </w:rPr>
        <w:t xml:space="preserve">y, food consumption index rate and </w:t>
      </w:r>
      <w:r w:rsidRPr="00662138">
        <w:rPr>
          <w:rFonts w:ascii="Times New Roman" w:hAnsi="Times New Roman" w:cs="Times New Roman"/>
          <w:sz w:val="24"/>
          <w:szCs w:val="24"/>
        </w:rPr>
        <w:t>coefficient of food utilization. It was observed that the increase in</w:t>
      </w:r>
      <w:r>
        <w:rPr>
          <w:rFonts w:ascii="Times New Roman" w:hAnsi="Times New Roman" w:cs="Times New Roman"/>
          <w:sz w:val="24"/>
          <w:szCs w:val="24"/>
        </w:rPr>
        <w:t xml:space="preserve"> crowding and </w:t>
      </w:r>
      <w:r w:rsidRPr="00662138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66213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138">
        <w:rPr>
          <w:rFonts w:ascii="Times New Roman" w:hAnsi="Times New Roman" w:cs="Times New Roman"/>
          <w:sz w:val="24"/>
          <w:szCs w:val="24"/>
        </w:rPr>
        <w:t>emission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2138">
        <w:rPr>
          <w:rFonts w:ascii="Times New Roman" w:hAnsi="Times New Roman" w:cs="Times New Roman"/>
          <w:sz w:val="24"/>
          <w:szCs w:val="24"/>
        </w:rPr>
        <w:t xml:space="preserve"> consumpt</w:t>
      </w:r>
      <w:r>
        <w:rPr>
          <w:rFonts w:ascii="Times New Roman" w:hAnsi="Times New Roman" w:cs="Times New Roman"/>
          <w:sz w:val="24"/>
          <w:szCs w:val="24"/>
        </w:rPr>
        <w:t>ion and digestion of food shows a gradual decline with maximum and minimum values of consumption (</w:t>
      </w:r>
      <w:r w:rsidRPr="007056D7">
        <w:rPr>
          <w:rFonts w:ascii="Times New Roman" w:hAnsi="Times New Roman" w:cs="Times New Roman"/>
          <w:color w:val="000000" w:themeColor="text1"/>
          <w:sz w:val="24"/>
          <w:szCs w:val="24"/>
        </w:rPr>
        <w:t>52.70±1.02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 and</w:t>
      </w:r>
      <w:r w:rsidRPr="007056D7">
        <w:rPr>
          <w:rFonts w:ascii="Times New Roman" w:hAnsi="Times New Roman" w:cs="Times New Roman"/>
          <w:color w:val="000000" w:themeColor="text1"/>
          <w:sz w:val="24"/>
          <w:szCs w:val="24"/>
        </w:rPr>
        <w:t>43.20±0.1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and digestion (</w:t>
      </w:r>
      <w:r w:rsidRPr="007056D7">
        <w:rPr>
          <w:rFonts w:ascii="Times New Roman" w:hAnsi="Times New Roman" w:cs="Times New Roman"/>
          <w:color w:val="000000" w:themeColor="text1"/>
          <w:sz w:val="24"/>
          <w:szCs w:val="24"/>
        </w:rPr>
        <w:t>89.43±1.03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 &amp;</w:t>
      </w:r>
      <w:r w:rsidRPr="007056D7">
        <w:rPr>
          <w:rFonts w:ascii="Times New Roman" w:hAnsi="Times New Roman" w:cs="Times New Roman"/>
          <w:color w:val="000000" w:themeColor="text1"/>
          <w:sz w:val="24"/>
          <w:szCs w:val="24"/>
        </w:rPr>
        <w:t>84.22±1.85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of food at 300 and 600 worms</w:t>
      </w:r>
      <w:r w:rsidRPr="006621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6ft</w:t>
      </w:r>
      <w:r w:rsidRPr="006759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respectively</w:t>
      </w:r>
      <w:r w:rsidRPr="00662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was</w:t>
      </w:r>
      <w:r w:rsidRPr="00662138">
        <w:rPr>
          <w:rFonts w:ascii="Times New Roman" w:hAnsi="Times New Roman" w:cs="Times New Roman"/>
          <w:sz w:val="24"/>
          <w:szCs w:val="24"/>
        </w:rPr>
        <w:t xml:space="preserve"> concluded</w:t>
      </w:r>
      <w:r>
        <w:rPr>
          <w:rFonts w:ascii="Times New Roman" w:hAnsi="Times New Roman" w:cs="Times New Roman"/>
          <w:sz w:val="24"/>
          <w:szCs w:val="24"/>
        </w:rPr>
        <w:t xml:space="preserve"> from this study</w:t>
      </w:r>
      <w:r w:rsidRPr="00662138">
        <w:rPr>
          <w:rFonts w:ascii="Times New Roman" w:hAnsi="Times New Roman" w:cs="Times New Roman"/>
          <w:sz w:val="24"/>
          <w:szCs w:val="24"/>
        </w:rPr>
        <w:t xml:space="preserve"> that the</w:t>
      </w:r>
      <w:r>
        <w:rPr>
          <w:rFonts w:ascii="Times New Roman" w:hAnsi="Times New Roman" w:cs="Times New Roman"/>
          <w:sz w:val="24"/>
          <w:szCs w:val="24"/>
        </w:rPr>
        <w:t xml:space="preserve"> larval population density ranging</w:t>
      </w:r>
      <w:r w:rsidRPr="00662138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Pr="0066213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400 worms/6ft</w:t>
      </w:r>
      <w:r w:rsidRPr="00687E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/tray </w:t>
      </w:r>
      <w:r w:rsidRPr="00662138">
        <w:rPr>
          <w:rFonts w:ascii="Times New Roman" w:hAnsi="Times New Roman" w:cs="Times New Roman"/>
          <w:sz w:val="24"/>
          <w:szCs w:val="24"/>
        </w:rPr>
        <w:t>is econom</w:t>
      </w:r>
      <w:r>
        <w:rPr>
          <w:rFonts w:ascii="Times New Roman" w:hAnsi="Times New Roman" w:cs="Times New Roman"/>
          <w:sz w:val="24"/>
          <w:szCs w:val="24"/>
        </w:rPr>
        <w:t>ically and commercially optimum for good silkworm rearing.</w:t>
      </w:r>
    </w:p>
    <w:p w:rsidR="00171A2C" w:rsidRPr="000C66ED" w:rsidRDefault="000C66ED" w:rsidP="000C66ED">
      <w:pPr>
        <w:pStyle w:val="para"/>
        <w:spacing w:before="0" w:beforeAutospacing="0" w:after="0" w:afterAutospacing="0" w:line="276" w:lineRule="auto"/>
        <w:jc w:val="both"/>
        <w:rPr>
          <w:lang w:val="en-IN"/>
        </w:rPr>
      </w:pPr>
      <w:r w:rsidRPr="00D678D4">
        <w:rPr>
          <w:b/>
          <w:bCs/>
        </w:rPr>
        <w:t>Keywords</w:t>
      </w:r>
      <w:r w:rsidRPr="00D678D4">
        <w:rPr>
          <w:b/>
        </w:rPr>
        <w:t>:</w:t>
      </w:r>
      <w:r>
        <w:rPr>
          <w:b/>
        </w:rPr>
        <w:t xml:space="preserve"> </w:t>
      </w:r>
      <w:proofErr w:type="spellStart"/>
      <w:r w:rsidRPr="00D678D4">
        <w:rPr>
          <w:i/>
        </w:rPr>
        <w:t>Bombyx</w:t>
      </w:r>
      <w:proofErr w:type="spellEnd"/>
      <w:r>
        <w:rPr>
          <w:i/>
        </w:rPr>
        <w:t xml:space="preserve"> </w:t>
      </w:r>
      <w:r w:rsidRPr="00D678D4">
        <w:rPr>
          <w:i/>
        </w:rPr>
        <w:t>mori</w:t>
      </w:r>
      <w:r>
        <w:rPr>
          <w:i/>
        </w:rPr>
        <w:t xml:space="preserve"> </w:t>
      </w:r>
      <w:r>
        <w:t>L. rearing, crowding, CO</w:t>
      </w:r>
      <w:r>
        <w:rPr>
          <w:vertAlign w:val="subscript"/>
        </w:rPr>
        <w:t>2</w:t>
      </w:r>
      <w:r>
        <w:t xml:space="preserve"> emission, food dynamics, cocoon productivity.</w:t>
      </w:r>
    </w:p>
    <w:sectPr w:rsidR="00171A2C" w:rsidRPr="000C66ED" w:rsidSect="000C66E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66ED"/>
    <w:rsid w:val="000C66ED"/>
    <w:rsid w:val="001A24E9"/>
    <w:rsid w:val="00214241"/>
    <w:rsid w:val="00980C78"/>
    <w:rsid w:val="00C6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66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C66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">
    <w:name w:val="para"/>
    <w:basedOn w:val="Normal"/>
    <w:rsid w:val="000C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table" w:styleId="TableGrid">
    <w:name w:val="Table Grid"/>
    <w:basedOn w:val="TableNormal"/>
    <w:uiPriority w:val="59"/>
    <w:rsid w:val="000C66E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2023-07-26T06:21:00Z</dcterms:created>
  <dcterms:modified xsi:type="dcterms:W3CDTF">2023-07-26T06:22:00Z</dcterms:modified>
</cp:coreProperties>
</file>